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DFA8">
      <w:pPr>
        <w:jc w:val="center"/>
        <w:rPr>
          <w:rFonts w:ascii="华文中宋" w:hAnsi="华文中宋" w:eastAsia="华文中宋"/>
          <w:sz w:val="44"/>
          <w:szCs w:val="44"/>
        </w:rPr>
      </w:pPr>
      <w:bookmarkStart w:id="0" w:name="标题"/>
      <w:r>
        <w:rPr>
          <w:rFonts w:hint="eastAsia" w:ascii="华文中宋" w:hAnsi="华文中宋" w:eastAsia="华文中宋"/>
          <w:sz w:val="44"/>
          <w:szCs w:val="44"/>
        </w:rPr>
        <w:t>成都东软学院学士学位授予实施细则</w:t>
      </w:r>
      <w:bookmarkEnd w:id="0"/>
    </w:p>
    <w:p w14:paraId="28575356">
      <w:pPr>
        <w:pStyle w:val="3"/>
        <w:spacing w:beforeLines="0" w:afterLines="0" w:line="240" w:lineRule="auto"/>
        <w:rPr>
          <w:rFonts w:ascii="黑体" w:hAnsi="黑体" w:eastAsia="黑体"/>
          <w:bCs w:val="0"/>
          <w:sz w:val="32"/>
          <w:szCs w:val="32"/>
        </w:rPr>
      </w:pPr>
      <w:bookmarkStart w:id="1" w:name="Content"/>
      <w:bookmarkEnd w:id="1"/>
      <w:r>
        <w:rPr>
          <w:rFonts w:ascii="黑体" w:hAnsi="黑体" w:eastAsia="黑体"/>
          <w:bCs w:val="0"/>
          <w:sz w:val="32"/>
          <w:szCs w:val="32"/>
        </w:rPr>
        <w:t>1目的</w:t>
      </w:r>
    </w:p>
    <w:p w14:paraId="57EB28BB">
      <w:pPr>
        <w:ind w:firstLine="640" w:firstLineChars="200"/>
        <w:rPr>
          <w:rFonts w:ascii="仿宋" w:hAnsi="仿宋" w:eastAsia="仿宋"/>
          <w:color w:val="000000"/>
          <w:sz w:val="32"/>
          <w:szCs w:val="32"/>
        </w:rPr>
      </w:pPr>
      <w:r>
        <w:rPr>
          <w:rFonts w:hint="eastAsia" w:ascii="仿宋" w:hAnsi="仿宋" w:eastAsia="仿宋"/>
          <w:color w:val="000000"/>
          <w:sz w:val="32"/>
          <w:szCs w:val="32"/>
        </w:rPr>
        <w:t>根据《中华人民共和国学位条例》《中华人民共和国学位条例暂行实施办法》《学位论文作假行为处理办法》</w:t>
      </w:r>
      <w:r>
        <w:rPr>
          <w:rFonts w:ascii="仿宋" w:hAnsi="仿宋" w:eastAsia="仿宋" w:cs="宋体"/>
          <w:spacing w:val="-4"/>
          <w:sz w:val="32"/>
          <w:szCs w:val="32"/>
        </w:rPr>
        <w:t>《学士学位授权与授予管理办法》以及</w:t>
      </w:r>
      <w:r>
        <w:rPr>
          <w:rFonts w:hint="eastAsia" w:ascii="仿宋" w:hAnsi="仿宋" w:eastAsia="仿宋"/>
          <w:color w:val="000000"/>
          <w:sz w:val="32"/>
          <w:szCs w:val="32"/>
        </w:rPr>
        <w:t>四川省人民政府学位委员会办公室的有关规定，结合我校实际，修订本细则。</w:t>
      </w:r>
    </w:p>
    <w:p w14:paraId="7344726A">
      <w:pPr>
        <w:pStyle w:val="3"/>
        <w:spacing w:beforeLines="0" w:afterLines="0" w:line="240" w:lineRule="auto"/>
        <w:rPr>
          <w:rFonts w:ascii="黑体" w:hAnsi="黑体" w:eastAsia="黑体"/>
          <w:bCs w:val="0"/>
          <w:sz w:val="32"/>
          <w:szCs w:val="32"/>
        </w:rPr>
      </w:pPr>
      <w:r>
        <w:rPr>
          <w:rFonts w:ascii="黑体" w:hAnsi="黑体" w:eastAsia="黑体"/>
          <w:bCs w:val="0"/>
          <w:sz w:val="32"/>
          <w:szCs w:val="32"/>
        </w:rPr>
        <w:t>2适用范围</w:t>
      </w:r>
    </w:p>
    <w:p w14:paraId="4D13FD65">
      <w:pPr>
        <w:ind w:firstLine="640" w:firstLineChars="200"/>
        <w:rPr>
          <w:rFonts w:ascii="仿宋" w:hAnsi="仿宋" w:eastAsia="仿宋"/>
          <w:color w:val="000000"/>
          <w:sz w:val="32"/>
          <w:szCs w:val="32"/>
        </w:rPr>
      </w:pPr>
      <w:r>
        <w:rPr>
          <w:rFonts w:hint="eastAsia" w:ascii="仿宋" w:hAnsi="仿宋" w:eastAsia="仿宋"/>
          <w:color w:val="000000"/>
          <w:sz w:val="32"/>
          <w:szCs w:val="32"/>
        </w:rPr>
        <w:t>本细则适用于具有成都东软学院学籍的全日制普通高等教育本科及专科起点本科层次毕业生。</w:t>
      </w:r>
    </w:p>
    <w:p w14:paraId="500A6823">
      <w:pPr>
        <w:pStyle w:val="3"/>
        <w:spacing w:beforeLines="0" w:afterLines="0" w:line="240" w:lineRule="auto"/>
        <w:rPr>
          <w:rFonts w:ascii="黑体" w:hAnsi="黑体" w:eastAsia="黑体"/>
          <w:bCs w:val="0"/>
          <w:sz w:val="32"/>
          <w:szCs w:val="32"/>
        </w:rPr>
      </w:pPr>
      <w:r>
        <w:rPr>
          <w:rFonts w:ascii="黑体" w:hAnsi="黑体" w:eastAsia="黑体"/>
          <w:bCs w:val="0"/>
          <w:sz w:val="32"/>
          <w:szCs w:val="32"/>
        </w:rPr>
        <w:t>3职责</w:t>
      </w:r>
    </w:p>
    <w:p w14:paraId="1E66D027">
      <w:pPr>
        <w:ind w:left="38" w:right="108" w:firstLine="484"/>
        <w:rPr>
          <w:rFonts w:ascii="仿宋" w:hAnsi="仿宋" w:eastAsia="仿宋"/>
          <w:color w:val="000000"/>
          <w:sz w:val="32"/>
          <w:szCs w:val="32"/>
        </w:rPr>
      </w:pPr>
      <w:r>
        <w:rPr>
          <w:rFonts w:ascii="仿宋" w:hAnsi="仿宋" w:eastAsia="仿宋"/>
          <w:color w:val="000000"/>
          <w:sz w:val="32"/>
          <w:szCs w:val="32"/>
        </w:rPr>
        <w:t>学校学位评定委员会及各学院学位评定分委员会按照学校学士学位授予的相关规定开展工作。</w:t>
      </w:r>
    </w:p>
    <w:p w14:paraId="6AE6D22F">
      <w:pPr>
        <w:pStyle w:val="3"/>
        <w:spacing w:beforeLines="0" w:afterLines="0" w:line="240" w:lineRule="auto"/>
        <w:rPr>
          <w:rFonts w:ascii="黑体" w:hAnsi="黑体" w:eastAsia="黑体"/>
          <w:bCs w:val="0"/>
          <w:sz w:val="32"/>
          <w:szCs w:val="32"/>
        </w:rPr>
      </w:pPr>
      <w:r>
        <w:rPr>
          <w:rFonts w:ascii="黑体" w:hAnsi="黑体" w:eastAsia="黑体"/>
          <w:bCs w:val="0"/>
          <w:sz w:val="32"/>
          <w:szCs w:val="32"/>
        </w:rPr>
        <w:t>4内容</w:t>
      </w:r>
    </w:p>
    <w:p w14:paraId="7A54988C">
      <w:pPr>
        <w:ind w:firstLine="519"/>
        <w:rPr>
          <w:rFonts w:ascii="仿宋" w:hAnsi="仿宋" w:eastAsia="仿宋" w:cs="宋体"/>
          <w:b/>
          <w:sz w:val="32"/>
          <w:szCs w:val="32"/>
        </w:rPr>
      </w:pPr>
      <w:r>
        <w:rPr>
          <w:rFonts w:ascii="仿宋" w:hAnsi="仿宋" w:eastAsia="仿宋" w:cs="宋体"/>
          <w:b/>
          <w:spacing w:val="1"/>
          <w:sz w:val="32"/>
          <w:szCs w:val="32"/>
        </w:rPr>
        <w:t>4</w:t>
      </w:r>
      <w:r>
        <w:rPr>
          <w:rFonts w:ascii="仿宋" w:hAnsi="仿宋" w:eastAsia="仿宋" w:cs="宋体"/>
          <w:b/>
          <w:sz w:val="32"/>
          <w:szCs w:val="32"/>
        </w:rPr>
        <w:t>.1</w:t>
      </w:r>
      <w:r>
        <w:rPr>
          <w:rFonts w:ascii="仿宋" w:hAnsi="仿宋" w:eastAsia="仿宋" w:cs="宋体"/>
          <w:b/>
          <w:spacing w:val="1"/>
          <w:sz w:val="32"/>
          <w:szCs w:val="32"/>
        </w:rPr>
        <w:t xml:space="preserve"> </w:t>
      </w:r>
      <w:r>
        <w:rPr>
          <w:rFonts w:ascii="仿宋" w:hAnsi="仿宋" w:eastAsia="仿宋" w:cs="宋体"/>
          <w:b/>
          <w:sz w:val="32"/>
          <w:szCs w:val="32"/>
        </w:rPr>
        <w:t>学士学位授予条件</w:t>
      </w:r>
    </w:p>
    <w:p w14:paraId="616F9511">
      <w:pPr>
        <w:ind w:firstLine="519"/>
        <w:rPr>
          <w:rFonts w:ascii="仿宋" w:hAnsi="仿宋" w:eastAsia="仿宋"/>
          <w:color w:val="000000"/>
          <w:sz w:val="32"/>
          <w:szCs w:val="32"/>
        </w:rPr>
      </w:pPr>
      <w:r>
        <w:rPr>
          <w:rFonts w:ascii="仿宋" w:hAnsi="仿宋" w:eastAsia="仿宋"/>
          <w:color w:val="000000"/>
          <w:sz w:val="32"/>
          <w:szCs w:val="32"/>
        </w:rPr>
        <w:t>4.1.1 同时达到以下条件者，可向学校学位评定委员会申请授予学士学位：</w:t>
      </w:r>
    </w:p>
    <w:p w14:paraId="27B1DC9F">
      <w:pPr>
        <w:ind w:firstLine="524"/>
        <w:rPr>
          <w:rFonts w:ascii="仿宋" w:hAnsi="仿宋" w:eastAsia="仿宋"/>
          <w:color w:val="000000"/>
          <w:sz w:val="32"/>
          <w:szCs w:val="32"/>
        </w:rPr>
      </w:pPr>
      <w:r>
        <w:rPr>
          <w:rFonts w:ascii="仿宋" w:hAnsi="仿宋" w:eastAsia="仿宋"/>
          <w:color w:val="000000"/>
          <w:sz w:val="32"/>
          <w:szCs w:val="32"/>
        </w:rPr>
        <w:t>（1）拥护中国共产党领导，拥护社会主义制度，遵纪守法，品行端正；</w:t>
      </w:r>
    </w:p>
    <w:p w14:paraId="246EB6F5">
      <w:pPr>
        <w:ind w:left="37" w:right="43" w:firstLine="487"/>
        <w:rPr>
          <w:rFonts w:ascii="仿宋" w:hAnsi="仿宋" w:eastAsia="仿宋"/>
          <w:color w:val="000000"/>
          <w:sz w:val="32"/>
          <w:szCs w:val="32"/>
        </w:rPr>
      </w:pPr>
      <w:r>
        <w:rPr>
          <w:rFonts w:ascii="仿宋" w:hAnsi="仿宋" w:eastAsia="仿宋"/>
          <w:color w:val="000000"/>
          <w:sz w:val="32"/>
          <w:szCs w:val="32"/>
        </w:rPr>
        <w:t>（2）在学校规定的最长学习年限内达到所学专业人才培养方案的各项要求， 课程学习、实验实习和毕业设计（论文）等各类教学环节的成绩合格， 获得规定学分，具有毕业资格，较好地掌握本学科的基础理论、专门知识和基本技能，并具有从事科学研究和担负专门技术工作的初步能力；</w:t>
      </w:r>
    </w:p>
    <w:p w14:paraId="2FEDE730">
      <w:pPr>
        <w:ind w:left="37" w:right="43" w:firstLine="487"/>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3）能较好地掌握本学科的基础理论、专门知识和基本技能，并具有从事科学研究和担负专门技术工作的初步能力，具有基本的外语运用能力，外语达到成都东软学院</w:t>
      </w:r>
      <w:r>
        <w:rPr>
          <w:rFonts w:hint="eastAsia" w:ascii="仿宋" w:hAnsi="仿宋" w:eastAsia="仿宋"/>
          <w:color w:val="000000"/>
          <w:sz w:val="32"/>
          <w:szCs w:val="32"/>
        </w:rPr>
        <w:t>学士学位文件所规定的外语要求。</w:t>
      </w:r>
    </w:p>
    <w:p w14:paraId="16C3F592">
      <w:pPr>
        <w:ind w:left="37" w:right="43" w:firstLine="487"/>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4）所学专业人才培养方案规定的课程平均</w:t>
      </w:r>
      <w:r>
        <w:rPr>
          <w:rFonts w:hint="eastAsia" w:ascii="仿宋" w:hAnsi="仿宋" w:eastAsia="仿宋"/>
          <w:color w:val="000000"/>
          <w:sz w:val="32"/>
          <w:szCs w:val="32"/>
        </w:rPr>
        <w:t>学分绩点达到</w:t>
      </w:r>
      <w:r>
        <w:rPr>
          <w:rFonts w:ascii="仿宋" w:hAnsi="仿宋" w:eastAsia="仿宋"/>
          <w:color w:val="000000"/>
          <w:sz w:val="32"/>
          <w:szCs w:val="32"/>
        </w:rPr>
        <w:t>2.0及以上[平均</w:t>
      </w:r>
      <w:r>
        <w:rPr>
          <w:rFonts w:hint="eastAsia" w:ascii="仿宋" w:hAnsi="仿宋" w:eastAsia="仿宋"/>
          <w:color w:val="000000"/>
          <w:sz w:val="32"/>
          <w:szCs w:val="32"/>
        </w:rPr>
        <w:t>学分绩点计算不含毕业设计（论文）成绩，结果四舍五入，保留</w:t>
      </w:r>
      <w:r>
        <w:rPr>
          <w:rFonts w:ascii="仿宋" w:hAnsi="仿宋" w:eastAsia="仿宋"/>
          <w:color w:val="000000"/>
          <w:sz w:val="32"/>
          <w:szCs w:val="32"/>
        </w:rPr>
        <w:t>2位小数]。</w:t>
      </w:r>
    </w:p>
    <w:p w14:paraId="6C02D348">
      <w:pPr>
        <w:ind w:left="40" w:right="44" w:firstLine="479"/>
        <w:rPr>
          <w:rFonts w:ascii="仿宋" w:hAnsi="仿宋" w:eastAsia="仿宋"/>
          <w:color w:val="000000"/>
          <w:sz w:val="32"/>
          <w:szCs w:val="32"/>
        </w:rPr>
      </w:pPr>
      <w:r>
        <w:rPr>
          <w:rFonts w:ascii="仿宋" w:hAnsi="仿宋" w:eastAsia="仿宋"/>
          <w:color w:val="000000"/>
          <w:sz w:val="32"/>
          <w:szCs w:val="32"/>
        </w:rPr>
        <w:t>4.1.2 学校有权依法对本科及专科起点本科层次毕业生进行（德、智、体、美等）全面考核，凡有下列情况之一者，不授予学士学位：</w:t>
      </w:r>
    </w:p>
    <w:p w14:paraId="46FD5E6F">
      <w:pPr>
        <w:ind w:firstLine="524"/>
        <w:rPr>
          <w:rFonts w:ascii="仿宋" w:hAnsi="仿宋" w:eastAsia="仿宋"/>
          <w:color w:val="000000"/>
          <w:sz w:val="32"/>
          <w:szCs w:val="32"/>
        </w:rPr>
      </w:pPr>
      <w:r>
        <w:rPr>
          <w:rFonts w:ascii="仿宋" w:hAnsi="仿宋" w:eastAsia="仿宋"/>
          <w:color w:val="000000"/>
          <w:sz w:val="32"/>
          <w:szCs w:val="32"/>
        </w:rPr>
        <w:t>（1）不符合第4.1.1条所规定的条件者；</w:t>
      </w:r>
    </w:p>
    <w:p w14:paraId="1FCE936A">
      <w:pPr>
        <w:ind w:firstLine="524"/>
        <w:rPr>
          <w:rFonts w:ascii="仿宋" w:hAnsi="仿宋" w:eastAsia="仿宋"/>
          <w:color w:val="000000"/>
          <w:sz w:val="32"/>
          <w:szCs w:val="32"/>
        </w:rPr>
      </w:pPr>
      <w:r>
        <w:rPr>
          <w:rFonts w:ascii="仿宋" w:hAnsi="仿宋" w:eastAsia="仿宋"/>
          <w:color w:val="000000"/>
          <w:sz w:val="32"/>
          <w:szCs w:val="32"/>
        </w:rPr>
        <w:t>（2）非毕业学年因考核违纪作弊受到记过（含记过）以上处分者；</w:t>
      </w:r>
    </w:p>
    <w:p w14:paraId="4D857FC1">
      <w:pPr>
        <w:ind w:firstLine="524"/>
        <w:rPr>
          <w:rFonts w:ascii="仿宋" w:hAnsi="仿宋" w:eastAsia="仿宋"/>
          <w:color w:val="000000"/>
          <w:sz w:val="32"/>
          <w:szCs w:val="32"/>
        </w:rPr>
      </w:pPr>
      <w:r>
        <w:rPr>
          <w:rFonts w:ascii="仿宋" w:hAnsi="仿宋" w:eastAsia="仿宋"/>
          <w:color w:val="000000"/>
          <w:sz w:val="32"/>
          <w:szCs w:val="32"/>
        </w:rPr>
        <w:t>（3）毕业学年因考核违纪作弊受到记过（含记过）以上处分者；</w:t>
      </w:r>
    </w:p>
    <w:p w14:paraId="07A894CC">
      <w:pPr>
        <w:ind w:left="39" w:right="117" w:firstLine="485"/>
        <w:rPr>
          <w:rFonts w:ascii="仿宋" w:hAnsi="仿宋" w:eastAsia="仿宋"/>
          <w:color w:val="000000"/>
          <w:sz w:val="32"/>
          <w:szCs w:val="32"/>
        </w:rPr>
      </w:pPr>
      <w:r>
        <w:rPr>
          <w:rFonts w:ascii="仿宋" w:hAnsi="仿宋" w:eastAsia="仿宋"/>
          <w:color w:val="000000"/>
          <w:sz w:val="32"/>
          <w:szCs w:val="32"/>
        </w:rPr>
        <w:t>（4）毕业设计（论文）出现购买、由他人代写、剽窃或者伪造数据等学位作假情形者；</w:t>
      </w:r>
    </w:p>
    <w:p w14:paraId="2FD97C95">
      <w:pPr>
        <w:ind w:firstLine="524"/>
        <w:rPr>
          <w:rFonts w:ascii="仿宋" w:hAnsi="仿宋" w:eastAsia="仿宋"/>
          <w:color w:val="000000"/>
          <w:sz w:val="32"/>
          <w:szCs w:val="32"/>
        </w:rPr>
      </w:pPr>
      <w:r>
        <w:rPr>
          <w:rFonts w:ascii="仿宋" w:hAnsi="仿宋" w:eastAsia="仿宋"/>
          <w:color w:val="000000"/>
          <w:sz w:val="32"/>
          <w:szCs w:val="32"/>
        </w:rPr>
        <w:t>（5）其他经学校学位评定委员会讨论，认为不能授予学士学位者。</w:t>
      </w:r>
    </w:p>
    <w:p w14:paraId="3EF2F8C6">
      <w:pPr>
        <w:ind w:left="39" w:right="109" w:firstLine="480"/>
        <w:rPr>
          <w:rFonts w:ascii="仿宋" w:hAnsi="仿宋" w:eastAsia="仿宋"/>
          <w:color w:val="000000"/>
          <w:sz w:val="32"/>
          <w:szCs w:val="32"/>
        </w:rPr>
      </w:pPr>
      <w:r>
        <w:rPr>
          <w:rFonts w:ascii="仿宋" w:hAnsi="仿宋" w:eastAsia="仿宋"/>
          <w:color w:val="000000"/>
          <w:sz w:val="32"/>
          <w:szCs w:val="32"/>
        </w:rPr>
        <w:t>4.1.3 对于第4.1.2条第（2）款的学生，受处分以后学期如符合以下条件之一，可由本人提出申请，并提交有关证明材料原件，经所在学院学位评定分委员会初审，学校学位评定委员会办公室形式审查后提交学校学位评定委员会研究和审议是否授予学士学位：</w:t>
      </w:r>
    </w:p>
    <w:p w14:paraId="1A3A6911">
      <w:pPr>
        <w:ind w:left="44" w:right="117" w:firstLine="479"/>
        <w:rPr>
          <w:rFonts w:ascii="仿宋" w:hAnsi="仿宋" w:eastAsia="仿宋"/>
          <w:color w:val="000000"/>
          <w:sz w:val="32"/>
          <w:szCs w:val="32"/>
        </w:rPr>
      </w:pPr>
      <w:r>
        <w:rPr>
          <w:rFonts w:ascii="仿宋" w:hAnsi="仿宋" w:eastAsia="仿宋"/>
          <w:color w:val="000000"/>
          <w:sz w:val="32"/>
          <w:szCs w:val="32"/>
        </w:rPr>
        <w:t>（1）受处分以后学期开设的全部课程（不含公共选修课）平均学分绩点达到3.0及以上且毕业设计(论文)达到优秀者；</w:t>
      </w:r>
    </w:p>
    <w:p w14:paraId="0B77A889">
      <w:pPr>
        <w:ind w:firstLine="524"/>
        <w:rPr>
          <w:rFonts w:ascii="仿宋" w:hAnsi="仿宋" w:eastAsia="仿宋"/>
          <w:color w:val="000000"/>
          <w:sz w:val="32"/>
          <w:szCs w:val="32"/>
        </w:rPr>
      </w:pPr>
      <w:r>
        <w:rPr>
          <w:rFonts w:ascii="仿宋" w:hAnsi="仿宋" w:eastAsia="仿宋"/>
          <w:color w:val="000000"/>
          <w:sz w:val="32"/>
          <w:szCs w:val="32"/>
        </w:rPr>
        <w:t>（2）获得校级及以上荣誉称号者；</w:t>
      </w:r>
    </w:p>
    <w:p w14:paraId="4B839E4B">
      <w:pPr>
        <w:ind w:left="37" w:right="44" w:firstLine="487"/>
        <w:rPr>
          <w:rFonts w:ascii="仿宋" w:hAnsi="仿宋" w:eastAsia="仿宋"/>
          <w:color w:val="000000"/>
          <w:sz w:val="32"/>
          <w:szCs w:val="32"/>
        </w:rPr>
      </w:pPr>
      <w:r>
        <w:rPr>
          <w:rFonts w:ascii="仿宋" w:hAnsi="仿宋" w:eastAsia="仿宋"/>
          <w:color w:val="000000"/>
          <w:sz w:val="32"/>
          <w:szCs w:val="32"/>
        </w:rPr>
        <w:t>（3）经学校认定在创新方面取得突出成绩者（获得学校统一组织与本专业相关的省级学科竞赛一等奖及以上奖励、取得与本专业相关的实用新型专利授权、发明专利授权或在</w:t>
      </w:r>
      <w:r>
        <w:rPr>
          <w:rFonts w:hint="eastAsia" w:ascii="仿宋" w:hAnsi="仿宋" w:eastAsia="仿宋"/>
          <w:color w:val="000000"/>
          <w:sz w:val="32"/>
          <w:szCs w:val="32"/>
        </w:rPr>
        <w:t>公开刊物发表专业相关科研论文</w:t>
      </w:r>
      <w:r>
        <w:rPr>
          <w:rFonts w:ascii="仿宋" w:hAnsi="仿宋" w:eastAsia="仿宋"/>
          <w:color w:val="000000"/>
          <w:sz w:val="32"/>
          <w:szCs w:val="32"/>
        </w:rPr>
        <w:t>，要求第一完成人或第一作者，且第一完成单位署名为学校。</w:t>
      </w:r>
    </w:p>
    <w:p w14:paraId="4BDDD558">
      <w:pPr>
        <w:ind w:firstLine="519"/>
        <w:outlineLvl w:val="0"/>
        <w:rPr>
          <w:rFonts w:ascii="仿宋" w:hAnsi="仿宋" w:eastAsia="仿宋"/>
          <w:b/>
          <w:color w:val="000000"/>
          <w:sz w:val="32"/>
          <w:szCs w:val="32"/>
        </w:rPr>
      </w:pPr>
      <w:r>
        <w:rPr>
          <w:rFonts w:ascii="仿宋" w:hAnsi="仿宋" w:eastAsia="仿宋"/>
          <w:b/>
          <w:color w:val="000000"/>
          <w:sz w:val="32"/>
          <w:szCs w:val="32"/>
        </w:rPr>
        <w:t>4.2 学士学位授予程序</w:t>
      </w:r>
    </w:p>
    <w:p w14:paraId="64B2C0E2">
      <w:pPr>
        <w:ind w:left="40" w:right="47" w:firstLine="479"/>
        <w:rPr>
          <w:rFonts w:ascii="仿宋" w:hAnsi="仿宋" w:eastAsia="仿宋"/>
          <w:color w:val="000000"/>
          <w:sz w:val="32"/>
          <w:szCs w:val="32"/>
        </w:rPr>
      </w:pPr>
      <w:r>
        <w:rPr>
          <w:rFonts w:ascii="仿宋" w:hAnsi="仿宋" w:eastAsia="仿宋"/>
          <w:color w:val="000000"/>
          <w:sz w:val="32"/>
          <w:szCs w:val="32"/>
        </w:rPr>
        <w:t>4.2.1各学位评定分委员会对本学院负责管理的本科毕业生的学士学位授予资格进行审查，并向学校学位评定委员会办公室提交建议授予学士学位学生名单以及不予授予学士学位的学生名单和相关材料。</w:t>
      </w:r>
    </w:p>
    <w:p w14:paraId="3B47B1A6">
      <w:pPr>
        <w:ind w:left="42" w:right="46" w:firstLine="476"/>
        <w:rPr>
          <w:rFonts w:ascii="仿宋" w:hAnsi="仿宋" w:eastAsia="仿宋"/>
          <w:color w:val="000000"/>
          <w:sz w:val="32"/>
          <w:szCs w:val="32"/>
        </w:rPr>
      </w:pPr>
      <w:r>
        <w:rPr>
          <w:rFonts w:ascii="仿宋" w:hAnsi="仿宋" w:eastAsia="仿宋"/>
          <w:color w:val="000000"/>
          <w:sz w:val="32"/>
          <w:szCs w:val="32"/>
        </w:rPr>
        <w:t>4.2.2学校学位评定委员会办公室对各学位评定分委员会上报的建议授予学士学位名单和材料进行复核，提交学校学位评定委员会审议。</w:t>
      </w:r>
    </w:p>
    <w:p w14:paraId="262DA142">
      <w:pPr>
        <w:ind w:left="42" w:right="49" w:firstLine="476"/>
        <w:rPr>
          <w:rFonts w:ascii="仿宋" w:hAnsi="仿宋" w:eastAsia="仿宋"/>
          <w:color w:val="000000"/>
          <w:sz w:val="32"/>
          <w:szCs w:val="32"/>
        </w:rPr>
      </w:pPr>
      <w:r>
        <w:rPr>
          <w:rFonts w:ascii="仿宋" w:hAnsi="仿宋" w:eastAsia="仿宋"/>
          <w:color w:val="000000"/>
          <w:sz w:val="32"/>
          <w:szCs w:val="32"/>
        </w:rPr>
        <w:t>4.2.3学校学位评定委员会办公室将学校学位评定委员会审议结果在学校范围内予以公示，公示无异议者由学校做出学士学位授予决定，颁发学士学位证书。</w:t>
      </w:r>
    </w:p>
    <w:p w14:paraId="05E12486">
      <w:pPr>
        <w:ind w:left="39" w:right="47" w:firstLine="480"/>
        <w:rPr>
          <w:rFonts w:ascii="仿宋" w:hAnsi="仿宋" w:eastAsia="仿宋"/>
          <w:color w:val="000000"/>
          <w:sz w:val="32"/>
          <w:szCs w:val="32"/>
        </w:rPr>
      </w:pPr>
      <w:r>
        <w:rPr>
          <w:rFonts w:ascii="仿宋" w:hAnsi="仿宋" w:eastAsia="仿宋"/>
          <w:color w:val="000000"/>
          <w:sz w:val="32"/>
          <w:szCs w:val="32"/>
        </w:rPr>
        <w:t>4.2.4在公示期内发现有漏授、错授或舞弊作伪等违反学位授予相关规定的情况，各学位评定分委员会应予以复议，并提出处理意见，报请学校学位评定委员会审议，做出补授、改授或撤销其学位的决定。</w:t>
      </w:r>
    </w:p>
    <w:p w14:paraId="2450C5CA">
      <w:pPr>
        <w:ind w:firstLine="519"/>
        <w:outlineLvl w:val="0"/>
        <w:rPr>
          <w:rFonts w:ascii="仿宋" w:hAnsi="仿宋" w:eastAsia="仿宋"/>
          <w:b/>
          <w:color w:val="000000"/>
          <w:sz w:val="32"/>
          <w:szCs w:val="32"/>
        </w:rPr>
      </w:pPr>
      <w:r>
        <w:rPr>
          <w:rFonts w:ascii="仿宋" w:hAnsi="仿宋" w:eastAsia="仿宋"/>
          <w:b/>
          <w:color w:val="000000"/>
          <w:sz w:val="32"/>
          <w:szCs w:val="32"/>
        </w:rPr>
        <w:t>4.3 其他事项</w:t>
      </w:r>
    </w:p>
    <w:p w14:paraId="15CA142B">
      <w:pPr>
        <w:ind w:firstLine="640" w:firstLineChars="200"/>
        <w:rPr>
          <w:rFonts w:ascii="仿宋" w:hAnsi="仿宋" w:eastAsia="仿宋"/>
          <w:color w:val="000000"/>
          <w:sz w:val="32"/>
          <w:szCs w:val="32"/>
        </w:rPr>
      </w:pPr>
      <w:r>
        <w:rPr>
          <w:rFonts w:ascii="仿宋" w:hAnsi="仿宋" w:eastAsia="仿宋"/>
          <w:color w:val="000000"/>
          <w:sz w:val="32"/>
          <w:szCs w:val="32"/>
        </w:rPr>
        <w:t>4.3.1学士学位授予条件按毕业当年适用的学士学位授予实施细则执行。</w:t>
      </w:r>
    </w:p>
    <w:p w14:paraId="3E5E81DF">
      <w:pPr>
        <w:ind w:firstLine="640" w:firstLineChars="200"/>
        <w:rPr>
          <w:rFonts w:ascii="仿宋" w:hAnsi="仿宋" w:eastAsia="仿宋"/>
          <w:color w:val="000000"/>
          <w:sz w:val="32"/>
          <w:szCs w:val="32"/>
        </w:rPr>
      </w:pPr>
      <w:r>
        <w:rPr>
          <w:rFonts w:ascii="仿宋" w:hAnsi="仿宋" w:eastAsia="仿宋"/>
          <w:color w:val="000000"/>
          <w:sz w:val="32"/>
          <w:szCs w:val="32"/>
        </w:rPr>
        <w:t>4.3.2具有学校正式学籍的外国留学生申请学士学位，原则上参照以上条件和程序办理。</w:t>
      </w:r>
    </w:p>
    <w:p w14:paraId="273ACE3B">
      <w:pPr>
        <w:ind w:left="42" w:right="49" w:firstLine="476"/>
        <w:rPr>
          <w:rFonts w:ascii="仿宋" w:hAnsi="仿宋" w:eastAsia="仿宋"/>
          <w:color w:val="000000"/>
          <w:sz w:val="32"/>
          <w:szCs w:val="32"/>
        </w:rPr>
      </w:pPr>
      <w:r>
        <w:rPr>
          <w:rFonts w:ascii="仿宋" w:hAnsi="仿宋" w:eastAsia="仿宋"/>
          <w:color w:val="000000"/>
          <w:sz w:val="32"/>
          <w:szCs w:val="32"/>
        </w:rPr>
        <w:t>4.3.3成人高等教育(高等教育自学考试)本科及专科起点本科层次毕业生学士学位授予条件按照学校成人高等教育学士学位授予有关规定执行。</w:t>
      </w:r>
    </w:p>
    <w:p w14:paraId="4C42DFB7">
      <w:pPr>
        <w:ind w:left="40" w:firstLine="479"/>
        <w:rPr>
          <w:rFonts w:ascii="仿宋" w:hAnsi="仿宋" w:eastAsia="仿宋"/>
          <w:color w:val="000000"/>
          <w:sz w:val="32"/>
          <w:szCs w:val="32"/>
        </w:rPr>
      </w:pPr>
      <w:r>
        <w:rPr>
          <w:rFonts w:ascii="仿宋" w:hAnsi="仿宋" w:eastAsia="仿宋"/>
          <w:color w:val="000000"/>
          <w:sz w:val="32"/>
          <w:szCs w:val="32"/>
        </w:rPr>
        <w:t>4.3.4学位证书若丢失或损坏，不予补发，可由学生向学校学位评定委员会办公室提出申请，补办学位证明书。</w:t>
      </w:r>
    </w:p>
    <w:p w14:paraId="759A356C">
      <w:pPr>
        <w:ind w:firstLine="519"/>
        <w:outlineLvl w:val="0"/>
        <w:rPr>
          <w:rFonts w:ascii="仿宋" w:hAnsi="仿宋" w:eastAsia="仿宋"/>
          <w:b/>
          <w:color w:val="000000"/>
          <w:sz w:val="32"/>
          <w:szCs w:val="32"/>
        </w:rPr>
      </w:pPr>
      <w:r>
        <w:rPr>
          <w:rFonts w:ascii="仿宋" w:hAnsi="仿宋" w:eastAsia="仿宋"/>
          <w:b/>
          <w:color w:val="000000"/>
          <w:sz w:val="32"/>
          <w:szCs w:val="32"/>
        </w:rPr>
        <w:t>4.4 附则</w:t>
      </w:r>
    </w:p>
    <w:p w14:paraId="117AB033">
      <w:pPr>
        <w:ind w:left="39" w:right="47" w:firstLine="480"/>
        <w:rPr>
          <w:rFonts w:ascii="仿宋" w:hAnsi="仿宋" w:eastAsia="仿宋"/>
          <w:color w:val="000000"/>
          <w:sz w:val="32"/>
          <w:szCs w:val="32"/>
        </w:rPr>
      </w:pPr>
      <w:r>
        <w:rPr>
          <w:rFonts w:ascii="仿宋" w:hAnsi="仿宋" w:eastAsia="仿宋"/>
          <w:color w:val="000000"/>
          <w:sz w:val="32"/>
          <w:szCs w:val="32"/>
        </w:rPr>
        <w:t>4.4.1学校学位评定委员会办公室设在教务部，根据上级有关文件精神和学校学位评定委员会的工作安排，具体执行有关学士学位管理的日常工作。</w:t>
      </w:r>
    </w:p>
    <w:p w14:paraId="0C125770">
      <w:pPr>
        <w:ind w:left="39" w:right="47" w:firstLine="480"/>
        <w:rPr>
          <w:rFonts w:ascii="仿宋" w:hAnsi="仿宋" w:eastAsia="仿宋"/>
          <w:color w:val="000000"/>
          <w:sz w:val="32"/>
          <w:szCs w:val="32"/>
        </w:rPr>
      </w:pPr>
      <w:r>
        <w:rPr>
          <w:rFonts w:ascii="仿宋" w:hAnsi="仿宋" w:eastAsia="仿宋"/>
          <w:color w:val="000000"/>
          <w:sz w:val="32"/>
          <w:szCs w:val="32"/>
        </w:rPr>
        <w:t>4.4.2 本实施细则自发布之日起面向2022级及以后年级本科及专科起点本科层次学生执行，经学校学位评定委员会授权，由学校学位评定委员会办公室 负责解释，未尽事宜参照上级及学校相关文件执行</w:t>
      </w:r>
    </w:p>
    <w:p w14:paraId="7CC79919">
      <w:pPr>
        <w:ind w:firstLine="640" w:firstLineChars="200"/>
        <w:rPr>
          <w:rFonts w:ascii="仿宋" w:hAnsi="仿宋" w:eastAsia="仿宋"/>
          <w:color w:val="000000"/>
          <w:sz w:val="32"/>
          <w:szCs w:val="32"/>
        </w:rPr>
      </w:pPr>
      <w:r>
        <w:rPr>
          <w:rFonts w:ascii="仿宋" w:hAnsi="仿宋" w:eastAsia="仿宋"/>
          <w:color w:val="000000"/>
          <w:sz w:val="32"/>
          <w:szCs w:val="32"/>
        </w:rPr>
        <w:t>4.4.3在授予学士学位后，若发现属于不应当授予学位情形的，经学校学位评定委员会复议，可撤销该生所获学位。</w:t>
      </w:r>
    </w:p>
    <w:p w14:paraId="28B39314">
      <w:pPr>
        <w:rPr>
          <w:rFonts w:ascii="仿宋" w:hAnsi="仿宋" w:eastAsia="仿宋"/>
          <w:sz w:val="32"/>
          <w:szCs w:val="32"/>
        </w:rPr>
      </w:pPr>
    </w:p>
    <w:p w14:paraId="5BD28598">
      <w:pPr>
        <w:pBdr>
          <w:bottom w:val="single" w:color="auto" w:sz="6" w:space="1"/>
        </w:pBdr>
        <w:rPr>
          <w:rFonts w:ascii="仿宋" w:hAnsi="仿宋" w:eastAsia="仿宋"/>
          <w:color w:val="FF0000"/>
          <w:sz w:val="32"/>
          <w:szCs w:val="32"/>
        </w:rPr>
      </w:pPr>
    </w:p>
    <w:p w14:paraId="58A72813">
      <w:pPr>
        <w:pBdr>
          <w:bottom w:val="single" w:color="auto" w:sz="6" w:space="1"/>
        </w:pBdr>
        <w:rPr>
          <w:rFonts w:ascii="仿宋" w:hAnsi="仿宋" w:eastAsia="仿宋"/>
          <w:color w:val="FF0000"/>
          <w:sz w:val="32"/>
          <w:szCs w:val="32"/>
        </w:rPr>
      </w:pPr>
    </w:p>
    <w:p w14:paraId="360B0D66">
      <w:pPr>
        <w:pBdr>
          <w:bottom w:val="single" w:color="auto" w:sz="6" w:space="1"/>
        </w:pBdr>
        <w:rPr>
          <w:rFonts w:ascii="仿宋" w:hAnsi="仿宋" w:eastAsia="仿宋"/>
          <w:color w:val="FF0000"/>
          <w:sz w:val="32"/>
          <w:szCs w:val="32"/>
        </w:rPr>
      </w:pPr>
    </w:p>
    <w:p w14:paraId="7EEF1BB7">
      <w:pPr>
        <w:pBdr>
          <w:bottom w:val="single" w:color="auto" w:sz="6" w:space="1"/>
        </w:pBdr>
        <w:rPr>
          <w:rFonts w:ascii="仿宋" w:hAnsi="仿宋" w:eastAsia="仿宋"/>
          <w:color w:val="000000"/>
          <w:sz w:val="32"/>
          <w:szCs w:val="32"/>
        </w:rPr>
      </w:pPr>
      <w:r>
        <w:rPr>
          <w:rFonts w:hint="eastAsia" w:ascii="仿宋" w:hAnsi="仿宋" w:eastAsia="仿宋"/>
          <w:color w:val="FF0000"/>
          <w:sz w:val="32"/>
          <w:szCs w:val="32"/>
        </w:rPr>
        <w:t xml:space="preserve">                                  </w:t>
      </w:r>
      <w:r>
        <w:rPr>
          <w:rFonts w:hint="eastAsia" w:ascii="仿宋" w:hAnsi="仿宋" w:eastAsia="仿宋"/>
          <w:color w:val="000000"/>
          <w:sz w:val="32"/>
          <w:szCs w:val="32"/>
        </w:rPr>
        <w:t>成都东软学院</w:t>
      </w:r>
    </w:p>
    <w:p w14:paraId="43D2F05E">
      <w:pPr>
        <w:pBdr>
          <w:bottom w:val="single" w:color="auto" w:sz="6" w:space="1"/>
        </w:pBdr>
        <w:rPr>
          <w:rFonts w:ascii="仿宋" w:hAnsi="仿宋" w:eastAsia="仿宋"/>
          <w:color w:val="000000"/>
          <w:sz w:val="32"/>
          <w:szCs w:val="32"/>
        </w:rPr>
      </w:pPr>
      <w:r>
        <w:rPr>
          <w:rFonts w:hint="eastAsia" w:ascii="仿宋" w:hAnsi="仿宋" w:eastAsia="仿宋"/>
          <w:color w:val="000000"/>
          <w:sz w:val="32"/>
          <w:szCs w:val="32"/>
        </w:rPr>
        <w:t xml:space="preserve">                   </w:t>
      </w:r>
      <w:bookmarkStart w:id="3" w:name="_GoBack"/>
      <w:bookmarkEnd w:id="3"/>
      <w:r>
        <w:rPr>
          <w:rFonts w:hint="eastAsia" w:ascii="仿宋" w:hAnsi="仿宋" w:eastAsia="仿宋"/>
          <w:color w:val="000000"/>
          <w:sz w:val="32"/>
          <w:szCs w:val="32"/>
        </w:rPr>
        <w:t xml:space="preserve">              </w:t>
      </w:r>
      <w:bookmarkStart w:id="2" w:name="日期落款"/>
      <w:r>
        <w:rPr>
          <w:rFonts w:ascii="仿宋" w:hAnsi="仿宋" w:eastAsia="仿宋"/>
          <w:color w:val="000000"/>
          <w:sz w:val="32"/>
          <w:szCs w:val="32"/>
        </w:rPr>
        <w:t>2022年</w:t>
      </w:r>
      <w:r>
        <w:rPr>
          <w:rFonts w:hint="eastAsia" w:ascii="仿宋" w:hAnsi="仿宋" w:eastAsia="仿宋"/>
          <w:color w:val="000000"/>
          <w:sz w:val="32"/>
          <w:szCs w:val="32"/>
        </w:rPr>
        <w:t>10</w:t>
      </w:r>
      <w:r>
        <w:rPr>
          <w:rFonts w:ascii="仿宋" w:hAnsi="仿宋" w:eastAsia="仿宋"/>
          <w:color w:val="000000"/>
          <w:sz w:val="32"/>
          <w:szCs w:val="32"/>
        </w:rPr>
        <w:t>月</w:t>
      </w:r>
      <w:r>
        <w:rPr>
          <w:rFonts w:hint="eastAsia" w:ascii="仿宋" w:hAnsi="仿宋" w:eastAsia="仿宋"/>
          <w:color w:val="000000"/>
          <w:sz w:val="32"/>
          <w:szCs w:val="32"/>
        </w:rPr>
        <w:t>8</w:t>
      </w:r>
      <w:r>
        <w:rPr>
          <w:rFonts w:ascii="仿宋" w:hAnsi="仿宋" w:eastAsia="仿宋"/>
          <w:color w:val="000000"/>
          <w:sz w:val="32"/>
          <w:szCs w:val="32"/>
        </w:rPr>
        <w:t>日</w:t>
      </w:r>
      <w:bookmarkEnd w:id="2"/>
    </w:p>
    <w:p w14:paraId="7CA3C803">
      <w:pPr>
        <w:pBdr>
          <w:bottom w:val="single" w:color="auto" w:sz="6" w:space="1"/>
        </w:pBdr>
        <w:rPr>
          <w:rFonts w:ascii="仿宋" w:hAnsi="仿宋" w:eastAsia="仿宋"/>
          <w:color w:val="000000"/>
          <w:sz w:val="32"/>
          <w:szCs w:val="32"/>
        </w:rPr>
      </w:pPr>
    </w:p>
    <w:p w14:paraId="706A32B9">
      <w:pPr>
        <w:pBdr>
          <w:bottom w:val="single" w:color="auto" w:sz="6" w:space="1"/>
        </w:pBdr>
        <w:rPr>
          <w:rFonts w:ascii="仿宋" w:hAnsi="仿宋" w:eastAsia="仿宋"/>
          <w:color w:val="000000"/>
          <w:sz w:val="32"/>
          <w:szCs w:val="32"/>
        </w:rPr>
      </w:pPr>
    </w:p>
    <w:p w14:paraId="22321BE1">
      <w:pPr>
        <w:pBdr>
          <w:bottom w:val="single" w:color="auto" w:sz="6" w:space="1"/>
        </w:pBdr>
        <w:rPr>
          <w:rFonts w:ascii="仿宋" w:hAnsi="仿宋" w:eastAsia="仿宋"/>
          <w:color w:val="000000"/>
          <w:sz w:val="32"/>
          <w:szCs w:val="32"/>
        </w:rPr>
      </w:pPr>
    </w:p>
    <w:p w14:paraId="16FC9FB4">
      <w:pPr>
        <w:tabs>
          <w:tab w:val="left" w:pos="1566"/>
        </w:tabs>
        <w:bidi w:val="0"/>
        <w:jc w:val="left"/>
        <w:rPr>
          <w:rFonts w:ascii="Times New Roman" w:hAnsi="Times New Roman" w:eastAsia="宋体" w:cs="Times New Roman"/>
          <w:kern w:val="2"/>
          <w:sz w:val="21"/>
          <w:szCs w:val="24"/>
          <w:lang w:val="en-US" w:eastAsia="zh-CN" w:bidi="ar-SA"/>
        </w:rPr>
      </w:pPr>
    </w:p>
    <w:sectPr>
      <w:footerReference r:id="rId3" w:type="default"/>
      <w:footerReference r:id="rId4" w:type="even"/>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60913"/>
      <w:docPartObj>
        <w:docPartGallery w:val="autotext"/>
      </w:docPartObj>
    </w:sdtPr>
    <w:sdtContent>
      <w:p w14:paraId="5BD6E6E8">
        <w:pPr>
          <w:pStyle w:val="8"/>
          <w:jc w:val="center"/>
        </w:pPr>
        <w:r>
          <w:fldChar w:fldCharType="begin"/>
        </w:r>
        <w:r>
          <w:instrText xml:space="preserve">PAGE   \* MERGEFORMAT</w:instrText>
        </w:r>
        <w:r>
          <w:fldChar w:fldCharType="separate"/>
        </w:r>
        <w:r>
          <w:rPr>
            <w:lang w:val="zh-CN" w:eastAsia="zh-CN"/>
          </w:rPr>
          <w:t>5</w:t>
        </w:r>
        <w:r>
          <w:fldChar w:fldCharType="end"/>
        </w:r>
      </w:p>
    </w:sdtContent>
  </w:sdt>
  <w:p w14:paraId="6EBA676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211456"/>
      <w:docPartObj>
        <w:docPartGallery w:val="autotext"/>
      </w:docPartObj>
    </w:sdtPr>
    <w:sdtContent>
      <w:p w14:paraId="47D96CB2">
        <w:pPr>
          <w:pStyle w:val="8"/>
          <w:jc w:val="center"/>
        </w:pPr>
        <w:r>
          <w:fldChar w:fldCharType="begin"/>
        </w:r>
        <w:r>
          <w:instrText xml:space="preserve">PAGE   \* MERGEFORMAT</w:instrText>
        </w:r>
        <w:r>
          <w:fldChar w:fldCharType="separate"/>
        </w:r>
        <w:r>
          <w:rPr>
            <w:lang w:val="zh-CN" w:eastAsia="zh-CN"/>
          </w:rPr>
          <w:t>4</w:t>
        </w:r>
        <w:r>
          <w:fldChar w:fldCharType="end"/>
        </w:r>
      </w:p>
    </w:sdtContent>
  </w:sdt>
  <w:p w14:paraId="41CE0513">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TZlYmVhZWY3NzgzNGJiNzY3NTQ5ZmM3OGNlMDgifQ=="/>
  </w:docVars>
  <w:rsids>
    <w:rsidRoot w:val="00E36746"/>
    <w:rsid w:val="00006166"/>
    <w:rsid w:val="0001003A"/>
    <w:rsid w:val="000127CA"/>
    <w:rsid w:val="000270EF"/>
    <w:rsid w:val="00027955"/>
    <w:rsid w:val="000325CF"/>
    <w:rsid w:val="00033D2E"/>
    <w:rsid w:val="00041440"/>
    <w:rsid w:val="00043422"/>
    <w:rsid w:val="0004705A"/>
    <w:rsid w:val="000630C1"/>
    <w:rsid w:val="000646D9"/>
    <w:rsid w:val="00071A91"/>
    <w:rsid w:val="0007460C"/>
    <w:rsid w:val="00075E51"/>
    <w:rsid w:val="000801AC"/>
    <w:rsid w:val="000805C5"/>
    <w:rsid w:val="00081EE7"/>
    <w:rsid w:val="000831AD"/>
    <w:rsid w:val="00086485"/>
    <w:rsid w:val="00091077"/>
    <w:rsid w:val="000A5318"/>
    <w:rsid w:val="000A6CA5"/>
    <w:rsid w:val="000A751B"/>
    <w:rsid w:val="000C6327"/>
    <w:rsid w:val="000D047E"/>
    <w:rsid w:val="000D38C6"/>
    <w:rsid w:val="000D4B9F"/>
    <w:rsid w:val="000E148D"/>
    <w:rsid w:val="000E6929"/>
    <w:rsid w:val="000F4BE6"/>
    <w:rsid w:val="000F5A01"/>
    <w:rsid w:val="000F5EA6"/>
    <w:rsid w:val="0010690E"/>
    <w:rsid w:val="00107ABC"/>
    <w:rsid w:val="001201CC"/>
    <w:rsid w:val="0012076E"/>
    <w:rsid w:val="00121A52"/>
    <w:rsid w:val="001250FA"/>
    <w:rsid w:val="00125272"/>
    <w:rsid w:val="001348ED"/>
    <w:rsid w:val="0013497A"/>
    <w:rsid w:val="00141303"/>
    <w:rsid w:val="001428F3"/>
    <w:rsid w:val="0014490C"/>
    <w:rsid w:val="001512BD"/>
    <w:rsid w:val="0015140F"/>
    <w:rsid w:val="001567D0"/>
    <w:rsid w:val="001574F9"/>
    <w:rsid w:val="001574FB"/>
    <w:rsid w:val="001668C2"/>
    <w:rsid w:val="00171028"/>
    <w:rsid w:val="001847C6"/>
    <w:rsid w:val="00184A38"/>
    <w:rsid w:val="00187727"/>
    <w:rsid w:val="00187ECF"/>
    <w:rsid w:val="00195AAF"/>
    <w:rsid w:val="001A0072"/>
    <w:rsid w:val="001B030D"/>
    <w:rsid w:val="001B11C7"/>
    <w:rsid w:val="001B26B8"/>
    <w:rsid w:val="001B7A46"/>
    <w:rsid w:val="001C0AB5"/>
    <w:rsid w:val="001C13CB"/>
    <w:rsid w:val="001C46CD"/>
    <w:rsid w:val="001D0D9E"/>
    <w:rsid w:val="001D2F1E"/>
    <w:rsid w:val="001D4D7D"/>
    <w:rsid w:val="001D5E1B"/>
    <w:rsid w:val="001D65A8"/>
    <w:rsid w:val="001E1D6B"/>
    <w:rsid w:val="001E3568"/>
    <w:rsid w:val="001E4415"/>
    <w:rsid w:val="001E4D48"/>
    <w:rsid w:val="001E76CE"/>
    <w:rsid w:val="001F3640"/>
    <w:rsid w:val="001F5CD6"/>
    <w:rsid w:val="0020303B"/>
    <w:rsid w:val="00224F6C"/>
    <w:rsid w:val="00230034"/>
    <w:rsid w:val="002323D0"/>
    <w:rsid w:val="002418B5"/>
    <w:rsid w:val="00245A70"/>
    <w:rsid w:val="00247726"/>
    <w:rsid w:val="00251C12"/>
    <w:rsid w:val="00251DA7"/>
    <w:rsid w:val="00290B92"/>
    <w:rsid w:val="002A100B"/>
    <w:rsid w:val="002B5772"/>
    <w:rsid w:val="002C2B34"/>
    <w:rsid w:val="002D0D22"/>
    <w:rsid w:val="002D2F76"/>
    <w:rsid w:val="002D63A8"/>
    <w:rsid w:val="002E07FF"/>
    <w:rsid w:val="002E53CA"/>
    <w:rsid w:val="002E59CA"/>
    <w:rsid w:val="002E5AAD"/>
    <w:rsid w:val="002E758E"/>
    <w:rsid w:val="002E75E9"/>
    <w:rsid w:val="002F2427"/>
    <w:rsid w:val="002F47BA"/>
    <w:rsid w:val="0030189F"/>
    <w:rsid w:val="00307E6F"/>
    <w:rsid w:val="00324C2F"/>
    <w:rsid w:val="0033405E"/>
    <w:rsid w:val="003403A6"/>
    <w:rsid w:val="00340A49"/>
    <w:rsid w:val="003427CA"/>
    <w:rsid w:val="0034306A"/>
    <w:rsid w:val="00344B5C"/>
    <w:rsid w:val="00346E19"/>
    <w:rsid w:val="00352A30"/>
    <w:rsid w:val="003531D9"/>
    <w:rsid w:val="00360E94"/>
    <w:rsid w:val="00361D35"/>
    <w:rsid w:val="00370922"/>
    <w:rsid w:val="00382F87"/>
    <w:rsid w:val="00392B9E"/>
    <w:rsid w:val="00392ECA"/>
    <w:rsid w:val="00393DD1"/>
    <w:rsid w:val="0039474F"/>
    <w:rsid w:val="003B09FC"/>
    <w:rsid w:val="003B4345"/>
    <w:rsid w:val="003C1905"/>
    <w:rsid w:val="003C51EA"/>
    <w:rsid w:val="003D21AC"/>
    <w:rsid w:val="003D2C05"/>
    <w:rsid w:val="003D6F4A"/>
    <w:rsid w:val="003F191A"/>
    <w:rsid w:val="00403C9B"/>
    <w:rsid w:val="0041260F"/>
    <w:rsid w:val="00415ECD"/>
    <w:rsid w:val="00417FBB"/>
    <w:rsid w:val="00425733"/>
    <w:rsid w:val="00426F18"/>
    <w:rsid w:val="00427F9F"/>
    <w:rsid w:val="00440D1F"/>
    <w:rsid w:val="0044336F"/>
    <w:rsid w:val="00445CD4"/>
    <w:rsid w:val="004810D0"/>
    <w:rsid w:val="00485402"/>
    <w:rsid w:val="00485E3D"/>
    <w:rsid w:val="00492828"/>
    <w:rsid w:val="0049468F"/>
    <w:rsid w:val="004A09CF"/>
    <w:rsid w:val="004A0B14"/>
    <w:rsid w:val="004B4640"/>
    <w:rsid w:val="004B66A3"/>
    <w:rsid w:val="004B7E4B"/>
    <w:rsid w:val="004C0318"/>
    <w:rsid w:val="004C049D"/>
    <w:rsid w:val="004C78E6"/>
    <w:rsid w:val="004D466C"/>
    <w:rsid w:val="004D7ACC"/>
    <w:rsid w:val="004E146D"/>
    <w:rsid w:val="004F246A"/>
    <w:rsid w:val="005015A0"/>
    <w:rsid w:val="00505207"/>
    <w:rsid w:val="0050652D"/>
    <w:rsid w:val="00513D63"/>
    <w:rsid w:val="005149D4"/>
    <w:rsid w:val="005276BC"/>
    <w:rsid w:val="005323AF"/>
    <w:rsid w:val="00533B8D"/>
    <w:rsid w:val="00536A2E"/>
    <w:rsid w:val="00547B3C"/>
    <w:rsid w:val="005516C5"/>
    <w:rsid w:val="00551A21"/>
    <w:rsid w:val="00555013"/>
    <w:rsid w:val="0056311A"/>
    <w:rsid w:val="005716BA"/>
    <w:rsid w:val="00575978"/>
    <w:rsid w:val="00587F83"/>
    <w:rsid w:val="00592968"/>
    <w:rsid w:val="005B0EC3"/>
    <w:rsid w:val="005C4509"/>
    <w:rsid w:val="005C6554"/>
    <w:rsid w:val="005D20BF"/>
    <w:rsid w:val="005F2F98"/>
    <w:rsid w:val="00601019"/>
    <w:rsid w:val="00605DD5"/>
    <w:rsid w:val="00620F7F"/>
    <w:rsid w:val="00622463"/>
    <w:rsid w:val="00623FF7"/>
    <w:rsid w:val="00625AA2"/>
    <w:rsid w:val="00627CDE"/>
    <w:rsid w:val="00631289"/>
    <w:rsid w:val="00637653"/>
    <w:rsid w:val="00652F33"/>
    <w:rsid w:val="00653EAB"/>
    <w:rsid w:val="00655EF3"/>
    <w:rsid w:val="00664176"/>
    <w:rsid w:val="006676AB"/>
    <w:rsid w:val="006733E2"/>
    <w:rsid w:val="0067494B"/>
    <w:rsid w:val="00677B16"/>
    <w:rsid w:val="00682AE1"/>
    <w:rsid w:val="006847BD"/>
    <w:rsid w:val="0069220B"/>
    <w:rsid w:val="00694506"/>
    <w:rsid w:val="006A0AA9"/>
    <w:rsid w:val="006A66E1"/>
    <w:rsid w:val="006B134A"/>
    <w:rsid w:val="006B4600"/>
    <w:rsid w:val="006D2264"/>
    <w:rsid w:val="006F0EF5"/>
    <w:rsid w:val="006F1470"/>
    <w:rsid w:val="00700418"/>
    <w:rsid w:val="00711D2A"/>
    <w:rsid w:val="007121B3"/>
    <w:rsid w:val="00712397"/>
    <w:rsid w:val="0071456B"/>
    <w:rsid w:val="00715872"/>
    <w:rsid w:val="00720FDD"/>
    <w:rsid w:val="0073001B"/>
    <w:rsid w:val="00742760"/>
    <w:rsid w:val="00750750"/>
    <w:rsid w:val="0076036A"/>
    <w:rsid w:val="00775133"/>
    <w:rsid w:val="00776235"/>
    <w:rsid w:val="007779EE"/>
    <w:rsid w:val="007A2A96"/>
    <w:rsid w:val="007A5864"/>
    <w:rsid w:val="007A7318"/>
    <w:rsid w:val="007B25A0"/>
    <w:rsid w:val="007C04B6"/>
    <w:rsid w:val="007C0BC0"/>
    <w:rsid w:val="007C5CBE"/>
    <w:rsid w:val="007D50A0"/>
    <w:rsid w:val="007E13F8"/>
    <w:rsid w:val="007E63C6"/>
    <w:rsid w:val="007E7F5D"/>
    <w:rsid w:val="007F0D65"/>
    <w:rsid w:val="007F71C5"/>
    <w:rsid w:val="007F77BF"/>
    <w:rsid w:val="00800D9A"/>
    <w:rsid w:val="0080337A"/>
    <w:rsid w:val="00806894"/>
    <w:rsid w:val="0081139E"/>
    <w:rsid w:val="00813C73"/>
    <w:rsid w:val="00817AAD"/>
    <w:rsid w:val="00842A4E"/>
    <w:rsid w:val="00845B48"/>
    <w:rsid w:val="00863DDD"/>
    <w:rsid w:val="00867B6A"/>
    <w:rsid w:val="008809E1"/>
    <w:rsid w:val="008832A5"/>
    <w:rsid w:val="00897AF7"/>
    <w:rsid w:val="008A02C2"/>
    <w:rsid w:val="008A27FB"/>
    <w:rsid w:val="008A6E79"/>
    <w:rsid w:val="008B5909"/>
    <w:rsid w:val="008C06AD"/>
    <w:rsid w:val="008D057D"/>
    <w:rsid w:val="008D0B4B"/>
    <w:rsid w:val="008D2518"/>
    <w:rsid w:val="008E047E"/>
    <w:rsid w:val="008E350A"/>
    <w:rsid w:val="008E735F"/>
    <w:rsid w:val="008F172B"/>
    <w:rsid w:val="008F54A4"/>
    <w:rsid w:val="009000BC"/>
    <w:rsid w:val="00900C13"/>
    <w:rsid w:val="00904594"/>
    <w:rsid w:val="00906338"/>
    <w:rsid w:val="009276F2"/>
    <w:rsid w:val="009444ED"/>
    <w:rsid w:val="0094694E"/>
    <w:rsid w:val="009504D3"/>
    <w:rsid w:val="00951599"/>
    <w:rsid w:val="00955A08"/>
    <w:rsid w:val="00956886"/>
    <w:rsid w:val="00956D89"/>
    <w:rsid w:val="00961A8F"/>
    <w:rsid w:val="00962503"/>
    <w:rsid w:val="00971F78"/>
    <w:rsid w:val="00977008"/>
    <w:rsid w:val="00991049"/>
    <w:rsid w:val="00992724"/>
    <w:rsid w:val="00997E1B"/>
    <w:rsid w:val="009A2184"/>
    <w:rsid w:val="009A3E53"/>
    <w:rsid w:val="009A78DC"/>
    <w:rsid w:val="009D64A7"/>
    <w:rsid w:val="00A00443"/>
    <w:rsid w:val="00A1228E"/>
    <w:rsid w:val="00A2420C"/>
    <w:rsid w:val="00A25610"/>
    <w:rsid w:val="00A30705"/>
    <w:rsid w:val="00A31EB3"/>
    <w:rsid w:val="00A33F4F"/>
    <w:rsid w:val="00A34863"/>
    <w:rsid w:val="00A409D6"/>
    <w:rsid w:val="00A45C2A"/>
    <w:rsid w:val="00A46D44"/>
    <w:rsid w:val="00A46EA8"/>
    <w:rsid w:val="00A47B36"/>
    <w:rsid w:val="00A65CF8"/>
    <w:rsid w:val="00A72BF5"/>
    <w:rsid w:val="00A73173"/>
    <w:rsid w:val="00A7613D"/>
    <w:rsid w:val="00A81CDB"/>
    <w:rsid w:val="00A908CC"/>
    <w:rsid w:val="00A926A7"/>
    <w:rsid w:val="00AA2308"/>
    <w:rsid w:val="00AB2275"/>
    <w:rsid w:val="00AC2456"/>
    <w:rsid w:val="00AC26CC"/>
    <w:rsid w:val="00AC3A1B"/>
    <w:rsid w:val="00AC55C1"/>
    <w:rsid w:val="00AD59AD"/>
    <w:rsid w:val="00AD6804"/>
    <w:rsid w:val="00AD6FB4"/>
    <w:rsid w:val="00AE2967"/>
    <w:rsid w:val="00AF7157"/>
    <w:rsid w:val="00B038FF"/>
    <w:rsid w:val="00B11826"/>
    <w:rsid w:val="00B179D3"/>
    <w:rsid w:val="00B40238"/>
    <w:rsid w:val="00B412D0"/>
    <w:rsid w:val="00B419E9"/>
    <w:rsid w:val="00B47ADE"/>
    <w:rsid w:val="00B50448"/>
    <w:rsid w:val="00B64DB8"/>
    <w:rsid w:val="00B654FE"/>
    <w:rsid w:val="00B75668"/>
    <w:rsid w:val="00B84534"/>
    <w:rsid w:val="00B84FB3"/>
    <w:rsid w:val="00B86740"/>
    <w:rsid w:val="00B90774"/>
    <w:rsid w:val="00B9506E"/>
    <w:rsid w:val="00B96D23"/>
    <w:rsid w:val="00BA49C0"/>
    <w:rsid w:val="00BA6357"/>
    <w:rsid w:val="00BB4D20"/>
    <w:rsid w:val="00BB521C"/>
    <w:rsid w:val="00BC2301"/>
    <w:rsid w:val="00BC678F"/>
    <w:rsid w:val="00BC708D"/>
    <w:rsid w:val="00BD0463"/>
    <w:rsid w:val="00BD16DA"/>
    <w:rsid w:val="00BE090F"/>
    <w:rsid w:val="00BF1686"/>
    <w:rsid w:val="00BF1C63"/>
    <w:rsid w:val="00BF7C6B"/>
    <w:rsid w:val="00C175AC"/>
    <w:rsid w:val="00C22D92"/>
    <w:rsid w:val="00C232A9"/>
    <w:rsid w:val="00C237AD"/>
    <w:rsid w:val="00C24280"/>
    <w:rsid w:val="00C309C3"/>
    <w:rsid w:val="00C31948"/>
    <w:rsid w:val="00C37CE9"/>
    <w:rsid w:val="00C425F9"/>
    <w:rsid w:val="00C437D1"/>
    <w:rsid w:val="00C552CF"/>
    <w:rsid w:val="00C7313D"/>
    <w:rsid w:val="00C77B8C"/>
    <w:rsid w:val="00C95FF9"/>
    <w:rsid w:val="00CA3EBF"/>
    <w:rsid w:val="00CA4A67"/>
    <w:rsid w:val="00CB06C2"/>
    <w:rsid w:val="00CB2508"/>
    <w:rsid w:val="00CB5089"/>
    <w:rsid w:val="00CC08D5"/>
    <w:rsid w:val="00CC1FF8"/>
    <w:rsid w:val="00CC31B0"/>
    <w:rsid w:val="00CD0192"/>
    <w:rsid w:val="00CD201F"/>
    <w:rsid w:val="00CD20C0"/>
    <w:rsid w:val="00CD2AD2"/>
    <w:rsid w:val="00CE0652"/>
    <w:rsid w:val="00CE1017"/>
    <w:rsid w:val="00CE406F"/>
    <w:rsid w:val="00CE512C"/>
    <w:rsid w:val="00CE6ED5"/>
    <w:rsid w:val="00CF42DA"/>
    <w:rsid w:val="00D03A96"/>
    <w:rsid w:val="00D03DE0"/>
    <w:rsid w:val="00D05205"/>
    <w:rsid w:val="00D22754"/>
    <w:rsid w:val="00D22C81"/>
    <w:rsid w:val="00D30231"/>
    <w:rsid w:val="00D412D0"/>
    <w:rsid w:val="00D41B84"/>
    <w:rsid w:val="00D61CE6"/>
    <w:rsid w:val="00D63497"/>
    <w:rsid w:val="00D63669"/>
    <w:rsid w:val="00D80DAC"/>
    <w:rsid w:val="00D80EC3"/>
    <w:rsid w:val="00D8444B"/>
    <w:rsid w:val="00D941CB"/>
    <w:rsid w:val="00D951F5"/>
    <w:rsid w:val="00DA0D40"/>
    <w:rsid w:val="00DA43E7"/>
    <w:rsid w:val="00DB4B59"/>
    <w:rsid w:val="00DB4C40"/>
    <w:rsid w:val="00DB7120"/>
    <w:rsid w:val="00DD2AA8"/>
    <w:rsid w:val="00DD7987"/>
    <w:rsid w:val="00DE06B4"/>
    <w:rsid w:val="00DE347C"/>
    <w:rsid w:val="00DF056B"/>
    <w:rsid w:val="00E00D84"/>
    <w:rsid w:val="00E12AA8"/>
    <w:rsid w:val="00E14574"/>
    <w:rsid w:val="00E15295"/>
    <w:rsid w:val="00E30933"/>
    <w:rsid w:val="00E36746"/>
    <w:rsid w:val="00E5033F"/>
    <w:rsid w:val="00E53C38"/>
    <w:rsid w:val="00E61D16"/>
    <w:rsid w:val="00E776CB"/>
    <w:rsid w:val="00E8393C"/>
    <w:rsid w:val="00E90E17"/>
    <w:rsid w:val="00E92645"/>
    <w:rsid w:val="00EA0540"/>
    <w:rsid w:val="00EA1E79"/>
    <w:rsid w:val="00EA6C44"/>
    <w:rsid w:val="00EA77EF"/>
    <w:rsid w:val="00EC01A1"/>
    <w:rsid w:val="00EC68F8"/>
    <w:rsid w:val="00EC7FA2"/>
    <w:rsid w:val="00ED4A8F"/>
    <w:rsid w:val="00ED6329"/>
    <w:rsid w:val="00EE1246"/>
    <w:rsid w:val="00EE1827"/>
    <w:rsid w:val="00EF19DB"/>
    <w:rsid w:val="00F057C4"/>
    <w:rsid w:val="00F12AE5"/>
    <w:rsid w:val="00F1644C"/>
    <w:rsid w:val="00F20002"/>
    <w:rsid w:val="00F20CC8"/>
    <w:rsid w:val="00F223D5"/>
    <w:rsid w:val="00F24423"/>
    <w:rsid w:val="00F2468C"/>
    <w:rsid w:val="00F32980"/>
    <w:rsid w:val="00F45B10"/>
    <w:rsid w:val="00F5021E"/>
    <w:rsid w:val="00F62296"/>
    <w:rsid w:val="00F80982"/>
    <w:rsid w:val="00F81D46"/>
    <w:rsid w:val="00F90C7F"/>
    <w:rsid w:val="00F957A9"/>
    <w:rsid w:val="00FB36E2"/>
    <w:rsid w:val="00FB6B16"/>
    <w:rsid w:val="00FC3956"/>
    <w:rsid w:val="00FD4540"/>
    <w:rsid w:val="00FE36D9"/>
    <w:rsid w:val="113B0990"/>
    <w:rsid w:val="245D2CEA"/>
    <w:rsid w:val="390F366E"/>
    <w:rsid w:val="55A5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qFormat/>
    <w:uiPriority w:val="9"/>
    <w:pPr>
      <w:keepNext/>
      <w:keepLines/>
      <w:spacing w:line="800" w:lineRule="exact"/>
      <w:jc w:val="center"/>
      <w:outlineLvl w:val="1"/>
    </w:pPr>
    <w:rPr>
      <w:rFonts w:ascii="等线 Light" w:hAnsi="等线 Light" w:eastAsia="方正小标宋_GBK"/>
      <w:bCs/>
      <w:sz w:val="36"/>
      <w:szCs w:val="32"/>
    </w:rPr>
  </w:style>
  <w:style w:type="paragraph" w:styleId="3">
    <w:name w:val="heading 4"/>
    <w:basedOn w:val="1"/>
    <w:next w:val="1"/>
    <w:link w:val="23"/>
    <w:qFormat/>
    <w:uiPriority w:val="9"/>
    <w:pPr>
      <w:keepNext/>
      <w:keepLines/>
      <w:spacing w:beforeLines="20" w:afterLines="20" w:line="400" w:lineRule="exact"/>
      <w:outlineLvl w:val="3"/>
    </w:pPr>
    <w:rPr>
      <w:rFonts w:ascii="等线 Light" w:hAnsi="等线 Light" w:eastAsia="方正黑体_GBK"/>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0"/>
    <w:pPr>
      <w:ind w:firstLine="358" w:firstLineChars="128"/>
    </w:pPr>
    <w:rPr>
      <w:sz w:val="28"/>
      <w:lang w:val="zh-CN" w:eastAsia="zh-CN"/>
    </w:rPr>
  </w:style>
  <w:style w:type="paragraph" w:styleId="5">
    <w:name w:val="Plain Text"/>
    <w:basedOn w:val="1"/>
    <w:link w:val="19"/>
    <w:qFormat/>
    <w:uiPriority w:val="0"/>
    <w:rPr>
      <w:rFonts w:ascii="宋体" w:hAnsi="Courier New"/>
      <w:szCs w:val="20"/>
      <w:lang w:val="zh-CN" w:eastAsia="zh-CN"/>
    </w:rPr>
  </w:style>
  <w:style w:type="paragraph" w:styleId="6">
    <w:name w:val="Date"/>
    <w:basedOn w:val="1"/>
    <w:next w:val="1"/>
    <w:link w:val="15"/>
    <w:qFormat/>
    <w:uiPriority w:val="0"/>
    <w:pPr>
      <w:ind w:left="100" w:leftChars="2500"/>
    </w:pPr>
    <w:rPr>
      <w:lang w:val="zh-CN" w:eastAsia="zh-CN"/>
    </w:rPr>
  </w:style>
  <w:style w:type="paragraph" w:styleId="7">
    <w:name w:val="Balloon Text"/>
    <w:basedOn w:val="1"/>
    <w:link w:val="16"/>
    <w:qFormat/>
    <w:uiPriority w:val="0"/>
    <w:rPr>
      <w:sz w:val="18"/>
      <w:szCs w:val="18"/>
      <w:lang w:val="zh-CN" w:eastAsia="zh-CN"/>
    </w:rPr>
  </w:style>
  <w:style w:type="paragraph" w:styleId="8">
    <w:name w:val="footer"/>
    <w:basedOn w:val="1"/>
    <w:link w:val="14"/>
    <w:qFormat/>
    <w:uiPriority w:val="99"/>
    <w:pPr>
      <w:tabs>
        <w:tab w:val="center" w:pos="4153"/>
        <w:tab w:val="right" w:pos="8306"/>
      </w:tabs>
      <w:snapToGrid w:val="0"/>
      <w:jc w:val="left"/>
    </w:pPr>
    <w:rPr>
      <w:sz w:val="18"/>
      <w:szCs w:val="18"/>
      <w:lang w:val="zh-CN" w:eastAsia="zh-CN"/>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12">
    <w:name w:val="Hyperlink"/>
    <w:qFormat/>
    <w:uiPriority w:val="0"/>
    <w:rPr>
      <w:color w:val="0563C1"/>
      <w:u w:val="single"/>
    </w:rPr>
  </w:style>
  <w:style w:type="character" w:customStyle="1" w:styleId="13">
    <w:name w:val="页眉 Char"/>
    <w:link w:val="9"/>
    <w:qFormat/>
    <w:uiPriority w:val="0"/>
    <w:rPr>
      <w:kern w:val="2"/>
      <w:sz w:val="18"/>
      <w:szCs w:val="18"/>
    </w:rPr>
  </w:style>
  <w:style w:type="character" w:customStyle="1" w:styleId="14">
    <w:name w:val="页脚 Char"/>
    <w:link w:val="8"/>
    <w:qFormat/>
    <w:uiPriority w:val="99"/>
    <w:rPr>
      <w:kern w:val="2"/>
      <w:sz w:val="18"/>
      <w:szCs w:val="18"/>
    </w:rPr>
  </w:style>
  <w:style w:type="character" w:customStyle="1" w:styleId="15">
    <w:name w:val="日期 Char"/>
    <w:link w:val="6"/>
    <w:qFormat/>
    <w:uiPriority w:val="0"/>
    <w:rPr>
      <w:kern w:val="2"/>
      <w:sz w:val="21"/>
      <w:szCs w:val="24"/>
    </w:rPr>
  </w:style>
  <w:style w:type="character" w:customStyle="1" w:styleId="16">
    <w:name w:val="批注框文本 Char"/>
    <w:link w:val="7"/>
    <w:qFormat/>
    <w:uiPriority w:val="0"/>
    <w:rPr>
      <w:kern w:val="2"/>
      <w:sz w:val="18"/>
      <w:szCs w:val="18"/>
    </w:rPr>
  </w:style>
  <w:style w:type="character" w:customStyle="1" w:styleId="17">
    <w:name w:val="正文文本缩进 Char"/>
    <w:link w:val="4"/>
    <w:qFormat/>
    <w:uiPriority w:val="0"/>
    <w:rPr>
      <w:kern w:val="2"/>
      <w:sz w:val="28"/>
      <w:szCs w:val="24"/>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纯文本 Char"/>
    <w:link w:val="5"/>
    <w:qFormat/>
    <w:uiPriority w:val="0"/>
    <w:rPr>
      <w:rFonts w:ascii="宋体" w:hAnsi="Courier New"/>
      <w:kern w:val="2"/>
      <w:sz w:val="21"/>
    </w:rPr>
  </w:style>
  <w:style w:type="character" w:customStyle="1" w:styleId="20">
    <w:name w:val="标题 2 Char"/>
    <w:semiHidden/>
    <w:qFormat/>
    <w:uiPriority w:val="0"/>
    <w:rPr>
      <w:rFonts w:ascii="Cambria" w:hAnsi="Cambria" w:eastAsia="宋体" w:cs="Times New Roman"/>
      <w:b/>
      <w:bCs/>
      <w:kern w:val="2"/>
      <w:sz w:val="32"/>
      <w:szCs w:val="32"/>
    </w:rPr>
  </w:style>
  <w:style w:type="character" w:customStyle="1" w:styleId="21">
    <w:name w:val="标题 4 Char"/>
    <w:semiHidden/>
    <w:qFormat/>
    <w:uiPriority w:val="0"/>
    <w:rPr>
      <w:rFonts w:ascii="Cambria" w:hAnsi="Cambria" w:eastAsia="宋体" w:cs="Times New Roman"/>
      <w:b/>
      <w:bCs/>
      <w:kern w:val="2"/>
      <w:sz w:val="28"/>
      <w:szCs w:val="28"/>
    </w:rPr>
  </w:style>
  <w:style w:type="character" w:customStyle="1" w:styleId="22">
    <w:name w:val="标题 2 Char1"/>
    <w:link w:val="2"/>
    <w:qFormat/>
    <w:uiPriority w:val="9"/>
    <w:rPr>
      <w:rFonts w:ascii="等线 Light" w:hAnsi="等线 Light" w:eastAsia="方正小标宋_GBK"/>
      <w:bCs/>
      <w:kern w:val="2"/>
      <w:sz w:val="36"/>
      <w:szCs w:val="32"/>
    </w:rPr>
  </w:style>
  <w:style w:type="character" w:customStyle="1" w:styleId="23">
    <w:name w:val="标题 4 Char1"/>
    <w:link w:val="3"/>
    <w:qFormat/>
    <w:uiPriority w:val="9"/>
    <w:rPr>
      <w:rFonts w:ascii="等线 Light" w:hAnsi="等线 Light" w:eastAsia="方正黑体_GBK"/>
      <w:bCs/>
      <w:kern w:val="2"/>
      <w:sz w:val="2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8DAF-9F03-4822-AC8E-2727D5815F48}">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5</Pages>
  <Words>1802</Words>
  <Characters>1893</Characters>
  <Lines>14</Lines>
  <Paragraphs>4</Paragraphs>
  <TotalTime>1</TotalTime>
  <ScaleCrop>false</ScaleCrop>
  <LinksUpToDate>false</LinksUpToDate>
  <CharactersWithSpaces>2036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2022-10-08T01:34:00Z</dcterms:created>
  <dc:creator>星火科技</dc:creator>
  <cp:lastModifiedBy>飞天舞</cp:lastModifiedBy>
  <cp:lastPrinted>2013-09-12T02:01:00Z</cp:lastPrinted>
  <dcterms:modified xsi:type="dcterms:W3CDTF">2024-11-08T04:36:33Z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292DE1CC86364F9C8F79F5230D00BD90_13</vt:lpwstr>
  </property>
</Properties>
</file>